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048" w:rsidRPr="00962E99" w:rsidRDefault="001657F1">
      <w:pPr>
        <w:rPr>
          <w:b/>
        </w:rPr>
      </w:pPr>
      <w:bookmarkStart w:id="0" w:name="_GoBack"/>
      <w:r>
        <w:rPr>
          <w:b/>
        </w:rPr>
        <w:t>Appendix File 2</w:t>
      </w:r>
      <w:r w:rsidR="00073290" w:rsidRPr="00962E99">
        <w:rPr>
          <w:b/>
        </w:rPr>
        <w:t xml:space="preserve">: Criteria for scoring coverage of NCD </w:t>
      </w:r>
      <w:r>
        <w:rPr>
          <w:b/>
        </w:rPr>
        <w:t>individual services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2A5744" w:rsidTr="00C0126F">
        <w:tc>
          <w:tcPr>
            <w:tcW w:w="3487" w:type="dxa"/>
            <w:vMerge w:val="restart"/>
          </w:tcPr>
          <w:bookmarkEnd w:id="0"/>
          <w:p w:rsidR="002A5744" w:rsidRPr="00962E99" w:rsidRDefault="002A5744" w:rsidP="003B2CAC">
            <w:pPr>
              <w:rPr>
                <w:b/>
              </w:rPr>
            </w:pPr>
            <w:r w:rsidRPr="00962E99">
              <w:rPr>
                <w:b/>
              </w:rPr>
              <w:t>Population-based interventions</w:t>
            </w:r>
          </w:p>
        </w:tc>
        <w:tc>
          <w:tcPr>
            <w:tcW w:w="10461" w:type="dxa"/>
            <w:gridSpan w:val="3"/>
          </w:tcPr>
          <w:p w:rsidR="002A5744" w:rsidRPr="00962E99" w:rsidRDefault="002A5744">
            <w:pPr>
              <w:rPr>
                <w:b/>
              </w:rPr>
            </w:pPr>
            <w:r w:rsidRPr="00962E99">
              <w:rPr>
                <w:b/>
              </w:rPr>
              <w:t xml:space="preserve">Criteria for scoring </w:t>
            </w:r>
          </w:p>
        </w:tc>
      </w:tr>
      <w:tr w:rsidR="002A5744" w:rsidTr="002A5744">
        <w:tc>
          <w:tcPr>
            <w:tcW w:w="3487" w:type="dxa"/>
            <w:vMerge/>
          </w:tcPr>
          <w:p w:rsidR="002A5744" w:rsidRPr="00962E99" w:rsidRDefault="002A5744">
            <w:pPr>
              <w:rPr>
                <w:b/>
              </w:rPr>
            </w:pPr>
          </w:p>
        </w:tc>
        <w:tc>
          <w:tcPr>
            <w:tcW w:w="3487" w:type="dxa"/>
          </w:tcPr>
          <w:p w:rsidR="002A5744" w:rsidRPr="00962E99" w:rsidRDefault="002A5744">
            <w:pPr>
              <w:rPr>
                <w:b/>
              </w:rPr>
            </w:pPr>
            <w:r w:rsidRPr="00962E99">
              <w:rPr>
                <w:b/>
              </w:rPr>
              <w:t>Limited</w:t>
            </w:r>
          </w:p>
        </w:tc>
        <w:tc>
          <w:tcPr>
            <w:tcW w:w="3487" w:type="dxa"/>
          </w:tcPr>
          <w:p w:rsidR="002A5744" w:rsidRPr="00962E99" w:rsidRDefault="002A5744">
            <w:pPr>
              <w:rPr>
                <w:b/>
              </w:rPr>
            </w:pPr>
            <w:r w:rsidRPr="00962E99">
              <w:rPr>
                <w:b/>
              </w:rPr>
              <w:t>Moderate</w:t>
            </w:r>
          </w:p>
        </w:tc>
        <w:tc>
          <w:tcPr>
            <w:tcW w:w="3487" w:type="dxa"/>
          </w:tcPr>
          <w:p w:rsidR="002A5744" w:rsidRPr="00962E99" w:rsidRDefault="002A5744">
            <w:pPr>
              <w:rPr>
                <w:b/>
              </w:rPr>
            </w:pPr>
            <w:r w:rsidRPr="00962E99">
              <w:rPr>
                <w:b/>
              </w:rPr>
              <w:t>Extensive</w:t>
            </w:r>
          </w:p>
        </w:tc>
      </w:tr>
      <w:tr w:rsidR="002A5744" w:rsidTr="002A5744">
        <w:tc>
          <w:tcPr>
            <w:tcW w:w="3487" w:type="dxa"/>
          </w:tcPr>
          <w:p w:rsidR="002A5744" w:rsidRPr="002A4C92" w:rsidRDefault="002A4C92">
            <w:pPr>
              <w:rPr>
                <w:b/>
              </w:rPr>
            </w:pPr>
            <w:r w:rsidRPr="002A4C92">
              <w:rPr>
                <w:b/>
              </w:rPr>
              <w:t>CVD and diabetes</w:t>
            </w:r>
          </w:p>
        </w:tc>
        <w:tc>
          <w:tcPr>
            <w:tcW w:w="3487" w:type="dxa"/>
          </w:tcPr>
          <w:p w:rsidR="002A5744" w:rsidRDefault="002A5744"/>
        </w:tc>
        <w:tc>
          <w:tcPr>
            <w:tcW w:w="3487" w:type="dxa"/>
          </w:tcPr>
          <w:p w:rsidR="002A5744" w:rsidRDefault="002A5744"/>
        </w:tc>
        <w:tc>
          <w:tcPr>
            <w:tcW w:w="3487" w:type="dxa"/>
          </w:tcPr>
          <w:p w:rsidR="002A5744" w:rsidRDefault="002A5744"/>
        </w:tc>
      </w:tr>
      <w:tr w:rsidR="002A5744" w:rsidTr="002A5744">
        <w:tc>
          <w:tcPr>
            <w:tcW w:w="3487" w:type="dxa"/>
          </w:tcPr>
          <w:p w:rsidR="002A5744" w:rsidRDefault="00A047CC">
            <w:r>
              <w:t>Risk stratifi</w:t>
            </w:r>
            <w:r w:rsidRPr="00A047CC">
              <w:t>cation in primary health care</w:t>
            </w:r>
          </w:p>
        </w:tc>
        <w:tc>
          <w:tcPr>
            <w:tcW w:w="3487" w:type="dxa"/>
          </w:tcPr>
          <w:p w:rsidR="002A5744" w:rsidRDefault="00BD2126">
            <w:r w:rsidRPr="00BD2126">
              <w:t>10-year CVD risk is documented in fewer than 30% of records of patients over 40 years of age with at least on</w:t>
            </w:r>
            <w:r>
              <w:t>e main CVD risk factor; specifi</w:t>
            </w:r>
            <w:r w:rsidRPr="00BD2126">
              <w:t>c  risk factors not routinely documented</w:t>
            </w:r>
            <w:r w:rsidR="007D2CF9">
              <w:t>.</w:t>
            </w:r>
          </w:p>
        </w:tc>
        <w:tc>
          <w:tcPr>
            <w:tcW w:w="3487" w:type="dxa"/>
          </w:tcPr>
          <w:p w:rsidR="002A5744" w:rsidRDefault="00BD2126">
            <w:r w:rsidRPr="00BD2126">
              <w:t>10-year CVD risk is documented in 30-60% of records of patients over 40 years of age with at least one main CVD risk factor. Incomplete risk factor documentation or not using systematic method</w:t>
            </w:r>
            <w:r w:rsidR="007D2CF9">
              <w:t>.</w:t>
            </w:r>
          </w:p>
        </w:tc>
        <w:tc>
          <w:tcPr>
            <w:tcW w:w="3487" w:type="dxa"/>
          </w:tcPr>
          <w:p w:rsidR="002A5744" w:rsidRDefault="00BD2126" w:rsidP="00BD2126">
            <w:r>
              <w:t>10-year CVD risk routinely documented in more than 60% of records of patients over 40 years with at least one main CVD risk factor. Systematic method of calculation with routine documentation of specific risk factors</w:t>
            </w:r>
            <w:r w:rsidR="007D2CF9">
              <w:t>.</w:t>
            </w:r>
          </w:p>
        </w:tc>
      </w:tr>
      <w:tr w:rsidR="002A5744" w:rsidTr="002A5744">
        <w:tc>
          <w:tcPr>
            <w:tcW w:w="3487" w:type="dxa"/>
          </w:tcPr>
          <w:p w:rsidR="002A5744" w:rsidRDefault="00BD2126">
            <w:r>
              <w:t>Eff</w:t>
            </w:r>
            <w:r w:rsidRPr="00BD2126">
              <w:t>ective detection and management of hypertension</w:t>
            </w:r>
          </w:p>
        </w:tc>
        <w:tc>
          <w:tcPr>
            <w:tcW w:w="3487" w:type="dxa"/>
          </w:tcPr>
          <w:p w:rsidR="002A5744" w:rsidRDefault="00BD2126">
            <w:r w:rsidRPr="00BD2126">
              <w:t>Fewer than 30% of estimated cases with h</w:t>
            </w:r>
            <w:r>
              <w:t>igh blood pressure are identifi</w:t>
            </w:r>
            <w:r w:rsidRPr="00BD2126">
              <w:t>ed in primary health care, evidence-based generic antihypertensive drugs infrequently prescribed, no eff orts to address patient adherence</w:t>
            </w:r>
            <w:r w:rsidR="007D2CF9">
              <w:t>.</w:t>
            </w:r>
          </w:p>
        </w:tc>
        <w:tc>
          <w:tcPr>
            <w:tcW w:w="3487" w:type="dxa"/>
          </w:tcPr>
          <w:p w:rsidR="002A5744" w:rsidRDefault="00BD2126">
            <w:r w:rsidRPr="00BD2126">
              <w:t>30-60% of estimated cases with h</w:t>
            </w:r>
            <w:r>
              <w:t>igh blood pressure are identifi</w:t>
            </w:r>
            <w:r w:rsidRPr="00BD2126">
              <w:t>ed in primary health care, evidence-based antihypertensive drugs often (25-75%) prescribed, some eff orts to increase patient adherence but not systematic</w:t>
            </w:r>
            <w:r w:rsidR="007D2CF9">
              <w:t>.</w:t>
            </w:r>
          </w:p>
        </w:tc>
        <w:tc>
          <w:tcPr>
            <w:tcW w:w="3487" w:type="dxa"/>
          </w:tcPr>
          <w:p w:rsidR="002A5744" w:rsidRDefault="00BD2126">
            <w:r w:rsidRPr="00BD2126">
              <w:t>More than 60% of estimated cases with h</w:t>
            </w:r>
            <w:r>
              <w:t>igh blood pressure are identifi</w:t>
            </w:r>
            <w:r w:rsidRPr="00BD2126">
              <w:t>ed in primary health care, evidence-based generic antihypertensive drugs routinely (&gt;75%) prescribed; government</w:t>
            </w:r>
            <w:r>
              <w:t xml:space="preserve"> </w:t>
            </w:r>
            <w:r w:rsidRPr="00BD2126">
              <w:t>funded systematic eff orts to increase adherence</w:t>
            </w:r>
            <w:r w:rsidR="007D2CF9">
              <w:t>.</w:t>
            </w:r>
          </w:p>
        </w:tc>
      </w:tr>
      <w:tr w:rsidR="002A5744" w:rsidTr="002A5744">
        <w:tc>
          <w:tcPr>
            <w:tcW w:w="3487" w:type="dxa"/>
          </w:tcPr>
          <w:p w:rsidR="002A5744" w:rsidRDefault="008C6CC7">
            <w:r>
              <w:t>Eff</w:t>
            </w:r>
            <w:r w:rsidRPr="008C6CC7">
              <w:t>ective primary prevention in high-risk groups</w:t>
            </w:r>
          </w:p>
        </w:tc>
        <w:tc>
          <w:tcPr>
            <w:tcW w:w="3487" w:type="dxa"/>
          </w:tcPr>
          <w:p w:rsidR="002A5744" w:rsidRDefault="007D2CF9">
            <w:r w:rsidRPr="007D2CF9">
              <w:t>Prescribers not aware of indications for primary prophylaxis. Under 10% of patients with very high (</w:t>
            </w:r>
            <w:r>
              <w:t>&gt;30%) 10-year CVD risk identifi</w:t>
            </w:r>
            <w:r w:rsidRPr="007D2CF9">
              <w:t>ed and prescribed multidrug regimens (antihypertensive, acetylsalicylic acid, and statin) for primary prophylaxis. Acetylsalicylic acid prescribed indiscriminately to all hypertensive patients.</w:t>
            </w:r>
          </w:p>
        </w:tc>
        <w:tc>
          <w:tcPr>
            <w:tcW w:w="3487" w:type="dxa"/>
          </w:tcPr>
          <w:p w:rsidR="002A5744" w:rsidRDefault="007D2CF9">
            <w:r w:rsidRPr="007D2CF9">
              <w:t>Prescribers aware of indications for primary prevention with multidrug regimen. Low coverage (10-25%) of very high-risk patients with primary prophylaxis, or appropriate drug regimens prescribed but very low patient adherence. Acetylsalicylic acid prescribed indiscriminately to all HTN patients.</w:t>
            </w:r>
          </w:p>
        </w:tc>
        <w:tc>
          <w:tcPr>
            <w:tcW w:w="3487" w:type="dxa"/>
          </w:tcPr>
          <w:p w:rsidR="002A5744" w:rsidRDefault="007D2CF9">
            <w:r w:rsidRPr="007D2CF9">
              <w:t>Routine prescription of multidrug regimens, including statins, for patients at very high CVD risk. Coverage of at-risk patients exceeds 25%. Evidence for good long-term patient adherence. Acetylsalicylic acid not prescribed to hypertensive patients with low or medium CVD risk</w:t>
            </w:r>
            <w:r>
              <w:t>.</w:t>
            </w:r>
          </w:p>
        </w:tc>
      </w:tr>
      <w:tr w:rsidR="002A5744" w:rsidTr="002A5744">
        <w:tc>
          <w:tcPr>
            <w:tcW w:w="3487" w:type="dxa"/>
          </w:tcPr>
          <w:p w:rsidR="002A5744" w:rsidRDefault="008D0482">
            <w:r>
              <w:t>Eff</w:t>
            </w:r>
            <w:r w:rsidRPr="008D0482">
              <w:t>ective secondary prevention after AMI including acetylsalicylic acid</w:t>
            </w:r>
          </w:p>
        </w:tc>
        <w:tc>
          <w:tcPr>
            <w:tcW w:w="3487" w:type="dxa"/>
          </w:tcPr>
          <w:p w:rsidR="002A5744" w:rsidRDefault="008D0482">
            <w:r w:rsidRPr="008D0482">
              <w:t>Fewer than 25% of patients after AMI receive acetylsalicylic acid, beta</w:t>
            </w:r>
            <w:r>
              <w:t xml:space="preserve"> </w:t>
            </w:r>
            <w:r w:rsidRPr="008D0482">
              <w:lastRenderedPageBreak/>
              <w:t>blockers and statins</w:t>
            </w:r>
            <w:r>
              <w:t>.</w:t>
            </w:r>
          </w:p>
        </w:tc>
        <w:tc>
          <w:tcPr>
            <w:tcW w:w="3487" w:type="dxa"/>
          </w:tcPr>
          <w:p w:rsidR="002A5744" w:rsidRDefault="008D0482">
            <w:r w:rsidRPr="008D0482">
              <w:lastRenderedPageBreak/>
              <w:t>25-75% of patients after AMI receive acetylsalicylic acid, beta</w:t>
            </w:r>
            <w:r>
              <w:t xml:space="preserve"> </w:t>
            </w:r>
            <w:r w:rsidRPr="008D0482">
              <w:lastRenderedPageBreak/>
              <w:t>blockers and statins</w:t>
            </w:r>
            <w:r>
              <w:t>.</w:t>
            </w:r>
          </w:p>
        </w:tc>
        <w:tc>
          <w:tcPr>
            <w:tcW w:w="3487" w:type="dxa"/>
          </w:tcPr>
          <w:p w:rsidR="002A5744" w:rsidRDefault="008C384B">
            <w:r w:rsidRPr="008C384B">
              <w:lastRenderedPageBreak/>
              <w:t>More than 75% of patients after AMI receive acetylsalicylic acid, beta</w:t>
            </w:r>
            <w:r>
              <w:t xml:space="preserve"> </w:t>
            </w:r>
            <w:r w:rsidRPr="008C384B">
              <w:lastRenderedPageBreak/>
              <w:t>blockers and statins</w:t>
            </w:r>
            <w:r>
              <w:t>.</w:t>
            </w:r>
          </w:p>
        </w:tc>
      </w:tr>
      <w:tr w:rsidR="002A5744" w:rsidTr="002A5744">
        <w:tc>
          <w:tcPr>
            <w:tcW w:w="3487" w:type="dxa"/>
          </w:tcPr>
          <w:p w:rsidR="002A5744" w:rsidRDefault="00556B86">
            <w:r w:rsidRPr="00556B86">
              <w:lastRenderedPageBreak/>
              <w:t>Rapid response and secondary care after AMI and stroke*</w:t>
            </w:r>
          </w:p>
        </w:tc>
        <w:tc>
          <w:tcPr>
            <w:tcW w:w="3487" w:type="dxa"/>
          </w:tcPr>
          <w:p w:rsidR="002A5744" w:rsidRDefault="00556B86">
            <w:r w:rsidRPr="00556B86">
              <w:t>Fewer than 25% of those with AMI or stroke receive diagnosis and care within 6 hours of</w:t>
            </w:r>
            <w:r>
              <w:t xml:space="preserve"> fi</w:t>
            </w:r>
            <w:r w:rsidRPr="00556B86">
              <w:t>rst symptoms</w:t>
            </w:r>
          </w:p>
        </w:tc>
        <w:tc>
          <w:tcPr>
            <w:tcW w:w="3487" w:type="dxa"/>
          </w:tcPr>
          <w:p w:rsidR="002A5744" w:rsidRDefault="00556B86">
            <w:r w:rsidRPr="00556B86">
              <w:t>25-50% of those with AMI or stroke receive diagnosi</w:t>
            </w:r>
            <w:r>
              <w:t>s and care within 6 hours of fi</w:t>
            </w:r>
            <w:r w:rsidRPr="00556B86">
              <w:t>rst symptoms</w:t>
            </w:r>
          </w:p>
        </w:tc>
        <w:tc>
          <w:tcPr>
            <w:tcW w:w="3487" w:type="dxa"/>
          </w:tcPr>
          <w:p w:rsidR="002A5744" w:rsidRDefault="00556B86">
            <w:r w:rsidRPr="00556B86">
              <w:t>More than 50% of those with AMI or stroke receive diagnosi</w:t>
            </w:r>
            <w:r>
              <w:t>s and care within 6 hours of fi</w:t>
            </w:r>
            <w:r w:rsidRPr="00556B86">
              <w:t>rst symptoms</w:t>
            </w:r>
          </w:p>
        </w:tc>
      </w:tr>
      <w:tr w:rsidR="002A5744" w:rsidTr="002A5744">
        <w:tc>
          <w:tcPr>
            <w:tcW w:w="3487" w:type="dxa"/>
          </w:tcPr>
          <w:p w:rsidR="002A5744" w:rsidRPr="00AF0C45" w:rsidRDefault="00AF0C45">
            <w:pPr>
              <w:rPr>
                <w:b/>
              </w:rPr>
            </w:pPr>
            <w:r w:rsidRPr="00AF0C45">
              <w:rPr>
                <w:b/>
              </w:rPr>
              <w:t>Diabetes</w:t>
            </w:r>
          </w:p>
        </w:tc>
        <w:tc>
          <w:tcPr>
            <w:tcW w:w="3487" w:type="dxa"/>
          </w:tcPr>
          <w:p w:rsidR="002A5744" w:rsidRDefault="002A5744"/>
        </w:tc>
        <w:tc>
          <w:tcPr>
            <w:tcW w:w="3487" w:type="dxa"/>
          </w:tcPr>
          <w:p w:rsidR="002A5744" w:rsidRDefault="002A5744"/>
        </w:tc>
        <w:tc>
          <w:tcPr>
            <w:tcW w:w="3487" w:type="dxa"/>
          </w:tcPr>
          <w:p w:rsidR="002A5744" w:rsidRDefault="002A5744"/>
        </w:tc>
      </w:tr>
      <w:tr w:rsidR="002A5744" w:rsidTr="002A5744">
        <w:tc>
          <w:tcPr>
            <w:tcW w:w="3487" w:type="dxa"/>
          </w:tcPr>
          <w:p w:rsidR="002A5744" w:rsidRDefault="00AF0C45">
            <w:r>
              <w:t>Eff</w:t>
            </w:r>
            <w:r w:rsidRPr="00AF0C45">
              <w:t>ective detection and general follow-up *</w:t>
            </w:r>
          </w:p>
        </w:tc>
        <w:tc>
          <w:tcPr>
            <w:tcW w:w="3487" w:type="dxa"/>
          </w:tcPr>
          <w:p w:rsidR="002A5744" w:rsidRDefault="00AF0C45">
            <w:r w:rsidRPr="00AF0C45">
              <w:t>Fewer than 75% of primary health care practices establish and maintain a register of all patients aged 17 or over with diabetes &lt;25% detection/registration rate, based on estimated prevalence of type 2 diabetes in adult population. Not using evidence</w:t>
            </w:r>
            <w:r>
              <w:t>-</w:t>
            </w:r>
            <w:r w:rsidRPr="00AF0C45">
              <w:t>based, systematic method to select asymptomatic patients for screening.</w:t>
            </w:r>
          </w:p>
        </w:tc>
        <w:tc>
          <w:tcPr>
            <w:tcW w:w="3487" w:type="dxa"/>
          </w:tcPr>
          <w:p w:rsidR="002A5744" w:rsidRDefault="00AF0C45">
            <w:r w:rsidRPr="00AF0C45">
              <w:t>25-75% of primary health care practices establish and maintain a register of all patients aged 17 or over with diabetes 25-50% detection/registration rate, based on estimated prevalence of type 2 diabetes in adult population. Using evidence-based, systematic method to select asymptomatic patients for screening, but limited coverage.</w:t>
            </w:r>
          </w:p>
        </w:tc>
        <w:tc>
          <w:tcPr>
            <w:tcW w:w="3487" w:type="dxa"/>
          </w:tcPr>
          <w:p w:rsidR="002A5744" w:rsidRDefault="00AF0C45">
            <w:r w:rsidRPr="00AF0C45">
              <w:t>More than 75% of primary health care practices establish and maintain a register of all patients aged 17 or over with diabetes More than 50% detection/ registration rate based on estimated prevalence of type 2 diabetes in adult population. Using evidence</w:t>
            </w:r>
            <w:r>
              <w:t>-</w:t>
            </w:r>
            <w:r w:rsidRPr="00AF0C45">
              <w:t>based, systematic method to select asymptomatic patients for screening with high coverage</w:t>
            </w:r>
            <w:r>
              <w:t>.</w:t>
            </w:r>
          </w:p>
        </w:tc>
      </w:tr>
      <w:tr w:rsidR="002A5744" w:rsidTr="002A5744">
        <w:tc>
          <w:tcPr>
            <w:tcW w:w="3487" w:type="dxa"/>
          </w:tcPr>
          <w:p w:rsidR="002A5744" w:rsidRDefault="00AF0C45">
            <w:r w:rsidRPr="00AF0C45">
              <w:t>Patient education on nutrition and physical activity and glucose management</w:t>
            </w:r>
          </w:p>
        </w:tc>
        <w:tc>
          <w:tcPr>
            <w:tcW w:w="3487" w:type="dxa"/>
          </w:tcPr>
          <w:p w:rsidR="002A5744" w:rsidRDefault="00AF0C45">
            <w:r w:rsidRPr="00AF0C45">
              <w:t>Fewer than 25% of those diagnosed with type 2 diabetes had at least 3 primary health care visits in past year</w:t>
            </w:r>
            <w:r>
              <w:t>.</w:t>
            </w:r>
            <w:r w:rsidRPr="00AF0C45">
              <w:t xml:space="preserve"> Fewer than 25% of registered diabetics receive organized dietary counselling</w:t>
            </w:r>
            <w:r>
              <w:t>.</w:t>
            </w:r>
            <w:r w:rsidRPr="00AF0C45">
              <w:t xml:space="preserve"> Primary health care has no counselling about physical activity</w:t>
            </w:r>
            <w:r>
              <w:t>.</w:t>
            </w:r>
            <w:r w:rsidRPr="00AF0C45">
              <w:t xml:space="preserve"> Fewer than 25% of registered diabetics had glycosylated haemoglobin measurement in past 12 months</w:t>
            </w:r>
            <w:r>
              <w:t>.</w:t>
            </w:r>
          </w:p>
        </w:tc>
        <w:tc>
          <w:tcPr>
            <w:tcW w:w="3487" w:type="dxa"/>
          </w:tcPr>
          <w:p w:rsidR="002A5744" w:rsidRDefault="00E570CC">
            <w:r w:rsidRPr="00E570CC">
              <w:t>25-75% of those diagnosed with type 2 diabetes had at least 3 primary health care visits in past year</w:t>
            </w:r>
            <w:r>
              <w:t>.</w:t>
            </w:r>
            <w:r w:rsidRPr="00E570CC">
              <w:t xml:space="preserve"> 25-75% of registered diabetics receive organized dietary counselling</w:t>
            </w:r>
            <w:r>
              <w:t>.</w:t>
            </w:r>
            <w:r w:rsidRPr="00E570CC">
              <w:t xml:space="preserve"> Pr</w:t>
            </w:r>
            <w:r>
              <w:t>imary health care routinely off</w:t>
            </w:r>
            <w:r w:rsidRPr="00E570CC">
              <w:t>ers counselling on physical activity 25-75% of registered diabetics had glycosylated haemoglobin measurement in past 12 months</w:t>
            </w:r>
            <w:r>
              <w:t>.</w:t>
            </w:r>
          </w:p>
        </w:tc>
        <w:tc>
          <w:tcPr>
            <w:tcW w:w="3487" w:type="dxa"/>
          </w:tcPr>
          <w:p w:rsidR="002A5744" w:rsidRDefault="00E570CC">
            <w:r w:rsidRPr="00E570CC">
              <w:t>More than 75% of those diagnosed with type 2 diabetes had at least 3 primary health care visits in past year</w:t>
            </w:r>
            <w:r>
              <w:t>.</w:t>
            </w:r>
            <w:r w:rsidRPr="00E570CC">
              <w:t xml:space="preserve"> More than 75% of registered diabetics receive organized dietary counselling</w:t>
            </w:r>
            <w:r>
              <w:t>.</w:t>
            </w:r>
            <w:r w:rsidRPr="00E570CC">
              <w:t xml:space="preserve"> Primary</w:t>
            </w:r>
            <w:r>
              <w:t xml:space="preserve"> health care routinely off</w:t>
            </w:r>
            <w:r w:rsidRPr="00E570CC">
              <w:t>ers counselling and options for physical activity through partnerships</w:t>
            </w:r>
            <w:r>
              <w:t>.</w:t>
            </w:r>
            <w:r w:rsidRPr="00E570CC">
              <w:t xml:space="preserve"> More than 75% of registered diabetics had glycosylated haemoglobin measurement in past 12 months</w:t>
            </w:r>
            <w:r>
              <w:t>.</w:t>
            </w:r>
          </w:p>
        </w:tc>
      </w:tr>
      <w:tr w:rsidR="002A5744" w:rsidTr="002A5744">
        <w:tc>
          <w:tcPr>
            <w:tcW w:w="3487" w:type="dxa"/>
          </w:tcPr>
          <w:p w:rsidR="002A5744" w:rsidRDefault="00E570CC">
            <w:r w:rsidRPr="00E570CC">
              <w:t>Hypertension management among diabetes patients</w:t>
            </w:r>
          </w:p>
        </w:tc>
        <w:tc>
          <w:tcPr>
            <w:tcW w:w="3487" w:type="dxa"/>
          </w:tcPr>
          <w:p w:rsidR="002A5744" w:rsidRDefault="00E570CC">
            <w:r w:rsidRPr="00E570CC">
              <w:t>Fewer than 25% of registered diabetics with hypertension have achieved a blood pressure &lt;140/90 mmHg; angiotensin-converting enzyme (ACE) inhibitors</w:t>
            </w:r>
            <w:r>
              <w:t xml:space="preserve"> not </w:t>
            </w:r>
            <w:r>
              <w:lastRenderedPageBreak/>
              <w:t>routinely prescribed as fi</w:t>
            </w:r>
            <w:r w:rsidRPr="00E570CC">
              <w:t>rst-line antihypertensive.</w:t>
            </w:r>
          </w:p>
        </w:tc>
        <w:tc>
          <w:tcPr>
            <w:tcW w:w="3487" w:type="dxa"/>
          </w:tcPr>
          <w:p w:rsidR="002A5744" w:rsidRDefault="00E570CC">
            <w:r w:rsidRPr="00E570CC">
              <w:lastRenderedPageBreak/>
              <w:t>25-75% of registered diabetics with hypertension have achieved a blood pressure &lt;140/90 mmHg; ACE inhibi</w:t>
            </w:r>
            <w:r>
              <w:t>tors routinely prescribed as fi</w:t>
            </w:r>
            <w:r w:rsidRPr="00E570CC">
              <w:t>rst-line antihypertensive</w:t>
            </w:r>
            <w:r>
              <w:t>.</w:t>
            </w:r>
          </w:p>
        </w:tc>
        <w:tc>
          <w:tcPr>
            <w:tcW w:w="3487" w:type="dxa"/>
          </w:tcPr>
          <w:p w:rsidR="002A5744" w:rsidRDefault="00E570CC">
            <w:r w:rsidRPr="00E570CC">
              <w:t>More than 75% of registered diabetics with hypertension have achieved a blood pressure &lt;140/90 mmHg; ACE inhibit</w:t>
            </w:r>
            <w:r>
              <w:t>ors  routinely prescribed as fi</w:t>
            </w:r>
            <w:r w:rsidRPr="00E570CC">
              <w:t xml:space="preserve">rst-line </w:t>
            </w:r>
            <w:r w:rsidRPr="00E570CC">
              <w:lastRenderedPageBreak/>
              <w:t>antihypertensive</w:t>
            </w:r>
            <w:r>
              <w:t>.</w:t>
            </w:r>
          </w:p>
        </w:tc>
      </w:tr>
      <w:tr w:rsidR="002A5744" w:rsidTr="002A5744">
        <w:tc>
          <w:tcPr>
            <w:tcW w:w="3487" w:type="dxa"/>
          </w:tcPr>
          <w:p w:rsidR="002A5744" w:rsidRDefault="00E570CC">
            <w:r w:rsidRPr="00E570CC">
              <w:lastRenderedPageBreak/>
              <w:t>Preventing complication</w:t>
            </w:r>
          </w:p>
        </w:tc>
        <w:tc>
          <w:tcPr>
            <w:tcW w:w="3487" w:type="dxa"/>
          </w:tcPr>
          <w:p w:rsidR="002A5744" w:rsidRDefault="00E570CC">
            <w:r w:rsidRPr="00E570CC">
              <w:t>Fewer than 25% of registered diabetics had a foot examination, eye examination (</w:t>
            </w:r>
            <w:proofErr w:type="spellStart"/>
            <w:r w:rsidRPr="00E570CC">
              <w:t>fundoscopy</w:t>
            </w:r>
            <w:proofErr w:type="spellEnd"/>
            <w:r w:rsidRPr="00E570CC">
              <w:t>) and urine protein test in past 12 months</w:t>
            </w:r>
          </w:p>
        </w:tc>
        <w:tc>
          <w:tcPr>
            <w:tcW w:w="3487" w:type="dxa"/>
          </w:tcPr>
          <w:p w:rsidR="002A5744" w:rsidRDefault="00E570CC">
            <w:r w:rsidRPr="00E570CC">
              <w:t>25-75% of registered diabetics had a foot examination , eye examination (</w:t>
            </w:r>
            <w:proofErr w:type="spellStart"/>
            <w:r w:rsidRPr="00E570CC">
              <w:t>fundoscopy</w:t>
            </w:r>
            <w:proofErr w:type="spellEnd"/>
            <w:r w:rsidRPr="00E570CC">
              <w:t>) and urine protein test in past 12 months</w:t>
            </w:r>
          </w:p>
        </w:tc>
        <w:tc>
          <w:tcPr>
            <w:tcW w:w="3487" w:type="dxa"/>
          </w:tcPr>
          <w:p w:rsidR="002A5744" w:rsidRDefault="00E570CC">
            <w:r w:rsidRPr="00E570CC">
              <w:t>More than 75% of registered diabetics had a foot examination , eye examination (</w:t>
            </w:r>
            <w:proofErr w:type="spellStart"/>
            <w:r w:rsidRPr="00E570CC">
              <w:t>fundoscopy</w:t>
            </w:r>
            <w:proofErr w:type="spellEnd"/>
            <w:r w:rsidRPr="00E570CC">
              <w:t>) and urine protein test in past 12 months</w:t>
            </w:r>
          </w:p>
        </w:tc>
      </w:tr>
    </w:tbl>
    <w:p w:rsidR="00073290" w:rsidRDefault="002A5744">
      <w:r>
        <w:t>Source: WHO [18]</w:t>
      </w:r>
      <w:r w:rsidR="00E570CC">
        <w:t xml:space="preserve">. Note: </w:t>
      </w:r>
      <w:r w:rsidR="00E570CC" w:rsidRPr="00E570CC">
        <w:t xml:space="preserve">* Indicates criteria additional to those mentioned in the </w:t>
      </w:r>
      <w:r w:rsidR="00E570CC">
        <w:t>WHO [21].</w:t>
      </w:r>
    </w:p>
    <w:sectPr w:rsidR="00073290" w:rsidSect="0007329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290"/>
    <w:rsid w:val="00024D7D"/>
    <w:rsid w:val="00073290"/>
    <w:rsid w:val="001657F1"/>
    <w:rsid w:val="002A4C92"/>
    <w:rsid w:val="002A5744"/>
    <w:rsid w:val="003C6699"/>
    <w:rsid w:val="00556B86"/>
    <w:rsid w:val="00623664"/>
    <w:rsid w:val="006F5048"/>
    <w:rsid w:val="007D2CF9"/>
    <w:rsid w:val="008C384B"/>
    <w:rsid w:val="008C6CC7"/>
    <w:rsid w:val="008D0482"/>
    <w:rsid w:val="00962E99"/>
    <w:rsid w:val="00A047CC"/>
    <w:rsid w:val="00AF0C45"/>
    <w:rsid w:val="00B218D6"/>
    <w:rsid w:val="00BD2126"/>
    <w:rsid w:val="00E5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57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57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969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WHO</Company>
  <LinksUpToDate>false</LinksUpToDate>
  <CharactersWithSpaces>6483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tbc admin</dc:creator>
  <cp:lastModifiedBy>MUSANGO, Laurent</cp:lastModifiedBy>
  <cp:revision>2</cp:revision>
  <dcterms:created xsi:type="dcterms:W3CDTF">2019-12-22T20:27:00Z</dcterms:created>
  <dcterms:modified xsi:type="dcterms:W3CDTF">2019-12-22T20:27:00Z</dcterms:modified>
</cp:coreProperties>
</file>